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1F34B06C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proofErr w:type="spellStart"/>
      <w:r w:rsidR="007A7918" w:rsidRPr="007A7918">
        <w:rPr>
          <w:rFonts w:ascii="Times New Roman" w:hAnsi="Times New Roman"/>
          <w:b/>
          <w:sz w:val="24"/>
          <w:szCs w:val="24"/>
        </w:rPr>
        <w:t>Жазбаша</w:t>
      </w:r>
      <w:proofErr w:type="spellEnd"/>
      <w:r w:rsidR="007A7918" w:rsidRPr="007A79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7918" w:rsidRPr="007A7918">
        <w:rPr>
          <w:rFonts w:ascii="Times New Roman" w:hAnsi="Times New Roman"/>
          <w:b/>
          <w:sz w:val="24"/>
          <w:szCs w:val="24"/>
        </w:rPr>
        <w:t>аударма</w:t>
      </w:r>
      <w:proofErr w:type="spellEnd"/>
      <w:r w:rsidR="007A7918" w:rsidRPr="007A79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7918" w:rsidRPr="007A7918">
        <w:rPr>
          <w:rFonts w:ascii="Times New Roman" w:hAnsi="Times New Roman"/>
          <w:b/>
          <w:sz w:val="24"/>
          <w:szCs w:val="24"/>
        </w:rPr>
        <w:t>практикасы</w:t>
      </w:r>
      <w:proofErr w:type="spellEnd"/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24118F2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E17776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3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7AC3BB6D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7E148F">
        <w:rPr>
          <w:rFonts w:ascii="Times New Roman" w:hAnsi="Times New Roman"/>
          <w:b/>
          <w:sz w:val="24"/>
          <w:szCs w:val="24"/>
          <w:lang w:val="kk-KZ"/>
        </w:rPr>
        <w:t>Маулит Б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13C14BE0" w14:textId="427564AB" w:rsidR="00881D6A" w:rsidRPr="00496A8C" w:rsidRDefault="00881D6A" w:rsidP="008D01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79888D4A" w14:textId="1F3C1161" w:rsidR="00881D6A" w:rsidRDefault="00190781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lastRenderedPageBreak/>
        <w:drawing>
          <wp:anchor distT="0" distB="0" distL="114300" distR="114300" simplePos="0" relativeHeight="251658240" behindDoc="0" locked="0" layoutInCell="1" allowOverlap="1" wp14:anchorId="761D21A5" wp14:editId="0919BB20">
            <wp:simplePos x="0" y="0"/>
            <wp:positionH relativeFrom="margin">
              <wp:align>right</wp:align>
            </wp:positionH>
            <wp:positionV relativeFrom="paragraph">
              <wp:posOffset>78738</wp:posOffset>
            </wp:positionV>
            <wp:extent cx="6330854" cy="8947788"/>
            <wp:effectExtent l="0" t="0" r="0" b="5715"/>
            <wp:wrapNone/>
            <wp:docPr id="19817920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92058" name="Рисунок 19817920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854" cy="8947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14393" w14:textId="5240A623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4FB649DA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1245EEF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046FD84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0C2074E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B186D33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97D95A6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6C00BF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7FBE8CC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1A356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CC0A6BE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E63840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74DE692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71214E7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863FA86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0609AD5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25B59F0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8AF1B4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B2AB4D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6EFE14E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0AEE37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C92CB8D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8EBC58E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0689A45" w14:textId="77777777" w:rsidR="008D016E" w:rsidRDefault="008D016E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3132B8FC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proofErr w:type="spellStart"/>
      <w:r w:rsidR="007A7918" w:rsidRPr="007A7918">
        <w:rPr>
          <w:rFonts w:ascii="Times New Roman" w:hAnsi="Times New Roman"/>
          <w:b/>
          <w:sz w:val="24"/>
          <w:szCs w:val="24"/>
        </w:rPr>
        <w:t>Жазбаша</w:t>
      </w:r>
      <w:proofErr w:type="spellEnd"/>
      <w:r w:rsidR="007A7918" w:rsidRPr="007A79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7918" w:rsidRPr="007A7918">
        <w:rPr>
          <w:rFonts w:ascii="Times New Roman" w:hAnsi="Times New Roman"/>
          <w:b/>
          <w:sz w:val="24"/>
          <w:szCs w:val="24"/>
        </w:rPr>
        <w:t>аударма</w:t>
      </w:r>
      <w:proofErr w:type="spellEnd"/>
      <w:r w:rsidR="007A7918" w:rsidRPr="007A79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7918" w:rsidRPr="007A7918">
        <w:rPr>
          <w:rFonts w:ascii="Times New Roman" w:hAnsi="Times New Roman"/>
          <w:b/>
          <w:sz w:val="24"/>
          <w:szCs w:val="24"/>
        </w:rPr>
        <w:t>практикасы</w:t>
      </w:r>
      <w:proofErr w:type="spellEnd"/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7EE6B99" w14:textId="05C81827" w:rsidR="00881D6A" w:rsidRPr="00120A97" w:rsidRDefault="000F68B1" w:rsidP="00BC477D">
      <w:pPr>
        <w:spacing w:after="0" w:line="240" w:lineRule="auto"/>
        <w:ind w:firstLine="240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Hlk212921008"/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7918" w:rsidRPr="007A7918">
        <w:rPr>
          <w:rFonts w:ascii="Times New Roman" w:hAnsi="Times New Roman"/>
          <w:b/>
          <w:sz w:val="24"/>
          <w:szCs w:val="24"/>
          <w:lang w:val="kk-KZ"/>
        </w:rPr>
        <w:t>Жазбаша аударма практикасы</w:t>
      </w:r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120A97" w:rsidRPr="00120A97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120A97" w:rsidRPr="00120A97">
        <w:rPr>
          <w:rFonts w:ascii="Times New Roman" w:hAnsi="Times New Roman"/>
          <w:sz w:val="24"/>
          <w:szCs w:val="24"/>
          <w:lang w:val="kk-KZ"/>
        </w:rPr>
        <w:t>топтағы басқа адамдармен жақсы қарым-қатынас жасайды, олармен білімімен, ақпаратпен, тәжірибесімен бөлінеді</w:t>
      </w:r>
      <w:r w:rsidR="00BC477D" w:rsidRPr="00120A97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="00120A97" w:rsidRPr="00120A97">
        <w:rPr>
          <w:rFonts w:ascii="Times New Roman" w:hAnsi="Times New Roman"/>
          <w:sz w:val="24"/>
          <w:szCs w:val="24"/>
          <w:lang w:val="kk-KZ"/>
        </w:rPr>
        <w:t>топтағы басқа адамдармен жақсы қарым-қатынас жасайды, олармен білімімен, ақпаратпен, тәжірибесімен бөлінеді</w:t>
      </w:r>
      <w:r w:rsidR="00120A97" w:rsidRPr="00120A9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120A97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</w:p>
    <w:p w14:paraId="2F3E51DB" w14:textId="77777777" w:rsidR="00BC477D" w:rsidRPr="00496A8C" w:rsidRDefault="00BC477D" w:rsidP="00BC477D">
      <w:pPr>
        <w:spacing w:after="0" w:line="240" w:lineRule="auto"/>
        <w:ind w:firstLine="2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590844A5" w:rsidR="00881D6A" w:rsidRPr="000F68B1" w:rsidRDefault="007A7918" w:rsidP="000F6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D016E">
        <w:rPr>
          <w:rFonts w:ascii="Times New Roman" w:hAnsi="Times New Roman"/>
          <w:b/>
          <w:sz w:val="24"/>
          <w:szCs w:val="24"/>
          <w:lang w:val="kk-KZ"/>
        </w:rPr>
        <w:t>Жазбаша аударма практикасы</w:t>
      </w:r>
      <w:r w:rsidR="0046232F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F68B1" w:rsidRPr="000F68B1">
        <w:rPr>
          <w:rFonts w:ascii="Times New Roman" w:hAnsi="Times New Roman"/>
          <w:bCs/>
          <w:sz w:val="24"/>
          <w:szCs w:val="24"/>
          <w:lang w:val="kk-KZ"/>
        </w:rPr>
        <w:t>Шет тілінің қарым-қатынас стилін,  эмоциялық мәнерін түсіну. Мәдениетаралық айырмашылықтарда толеранттылық пен ашықтық қалыптастыру.</w:t>
      </w:r>
      <w:r w:rsidR="000F68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6AC187E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4F53DA">
        <w:rPr>
          <w:rFonts w:ascii="Times New Roman" w:hAnsi="Times New Roman"/>
          <w:sz w:val="24"/>
          <w:szCs w:val="24"/>
          <w:lang w:val="kk-KZ"/>
        </w:rPr>
        <w:t>3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18140CFA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7A7918" w:rsidRPr="008D016E">
        <w:rPr>
          <w:rFonts w:ascii="Times New Roman" w:hAnsi="Times New Roman"/>
          <w:bCs/>
          <w:sz w:val="24"/>
          <w:szCs w:val="24"/>
          <w:lang w:val="kk-KZ"/>
        </w:rPr>
        <w:t>Жазбаша аударма практикасы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0647E3F1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492DC9" w:rsidRPr="00492DC9">
        <w:rPr>
          <w:rFonts w:ascii="Times New Roman" w:hAnsi="Times New Roman"/>
          <w:sz w:val="24"/>
          <w:szCs w:val="24"/>
          <w:lang w:val="kk-KZ"/>
        </w:rPr>
        <w:t>Мәдениет аралық қарым-қатына контексіндегі базалық шет тілі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lastRenderedPageBreak/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2809D9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8D016E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lastRenderedPageBreak/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lastRenderedPageBreak/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lastRenderedPageBreak/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lastRenderedPageBreak/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45B58917" w14:textId="77777777" w:rsidR="00D2482D" w:rsidRPr="00D03ECD" w:rsidRDefault="00D2482D" w:rsidP="00D03EC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4007714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6C0992">
        <w:rPr>
          <w:rFonts w:ascii="SimSun" w:eastAsia="SimSun" w:hAnsi="SimSun" w:cs="SimSun" w:hint="eastAsia"/>
          <w:sz w:val="24"/>
          <w:szCs w:val="24"/>
          <w:lang w:val="kk-KZ" w:eastAsia="zh-CN"/>
        </w:rPr>
        <w:t>新使用汉语课本。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panose1 w:val="00000000000000000000"/>
    <w:charset w:val="00"/>
    <w:family w:val="roman"/>
    <w:notTrueType/>
    <w:pitch w:val="default"/>
  </w:font>
  <w:font w:name="MGCEF+ArialMT">
    <w:altName w:val="Sylfae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0F68B1"/>
    <w:rsid w:val="00120A97"/>
    <w:rsid w:val="0017654B"/>
    <w:rsid w:val="00190781"/>
    <w:rsid w:val="001B4896"/>
    <w:rsid w:val="001D2EE7"/>
    <w:rsid w:val="00205B30"/>
    <w:rsid w:val="002809D9"/>
    <w:rsid w:val="002C3862"/>
    <w:rsid w:val="00350523"/>
    <w:rsid w:val="00391737"/>
    <w:rsid w:val="003A1B03"/>
    <w:rsid w:val="003E6D0E"/>
    <w:rsid w:val="0046232F"/>
    <w:rsid w:val="00492DC9"/>
    <w:rsid w:val="004B6C1D"/>
    <w:rsid w:val="004D30F9"/>
    <w:rsid w:val="004F53DA"/>
    <w:rsid w:val="0053555B"/>
    <w:rsid w:val="00600FCA"/>
    <w:rsid w:val="00694CB7"/>
    <w:rsid w:val="006B0872"/>
    <w:rsid w:val="006C0992"/>
    <w:rsid w:val="007526E7"/>
    <w:rsid w:val="00770037"/>
    <w:rsid w:val="007A7918"/>
    <w:rsid w:val="007E148F"/>
    <w:rsid w:val="00837112"/>
    <w:rsid w:val="00881D6A"/>
    <w:rsid w:val="0089790D"/>
    <w:rsid w:val="008B5ADC"/>
    <w:rsid w:val="008D016E"/>
    <w:rsid w:val="00983A7A"/>
    <w:rsid w:val="009937C8"/>
    <w:rsid w:val="009E08BE"/>
    <w:rsid w:val="00A86047"/>
    <w:rsid w:val="00AC2A14"/>
    <w:rsid w:val="00AD5C05"/>
    <w:rsid w:val="00B64317"/>
    <w:rsid w:val="00B65E3D"/>
    <w:rsid w:val="00B7374F"/>
    <w:rsid w:val="00BC477D"/>
    <w:rsid w:val="00BD08E7"/>
    <w:rsid w:val="00C610C8"/>
    <w:rsid w:val="00C95C74"/>
    <w:rsid w:val="00D03ECD"/>
    <w:rsid w:val="00D2482D"/>
    <w:rsid w:val="00D55B45"/>
    <w:rsid w:val="00D72E94"/>
    <w:rsid w:val="00D84DF4"/>
    <w:rsid w:val="00DC1A55"/>
    <w:rsid w:val="00DC43B0"/>
    <w:rsid w:val="00DE689D"/>
    <w:rsid w:val="00DF6D8B"/>
    <w:rsid w:val="00E17776"/>
    <w:rsid w:val="00F12D68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 A</cp:lastModifiedBy>
  <cp:revision>2</cp:revision>
  <dcterms:created xsi:type="dcterms:W3CDTF">2025-11-04T09:29:00Z</dcterms:created>
  <dcterms:modified xsi:type="dcterms:W3CDTF">2025-11-04T09:29:00Z</dcterms:modified>
</cp:coreProperties>
</file>